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5D01FE84"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#19.408.0)</w:t>
      </w:r>
      <w:r w:rsidR="000E3A30">
        <w:rPr>
          <w:rFonts w:ascii="Times New Roman" w:hAnsi="Times New Roman"/>
          <w:sz w:val="24"/>
          <w:szCs w:val="24"/>
        </w:rPr>
        <w:t>, Orange 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7F362C">
        <w:rPr>
          <w:rFonts w:ascii="Times New Roman" w:hAnsi="Times New Roman"/>
          <w:sz w:val="24"/>
          <w:szCs w:val="24"/>
        </w:rPr>
        <w:t xml:space="preserve">8:1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737DF811" w:rsidR="00EA387A" w:rsidRPr="005B129A" w:rsidRDefault="004657BA" w:rsidP="005B129A">
          <w:pPr>
            <w:pStyle w:val="Header"/>
            <w:jc w:val="center"/>
            <w:rPr>
              <w:b/>
              <w:bCs/>
              <w:sz w:val="20"/>
              <w:szCs w:val="20"/>
            </w:rPr>
          </w:pPr>
          <w:r>
            <w:rPr>
              <w:b/>
              <w:bCs/>
              <w:sz w:val="20"/>
              <w:szCs w:val="20"/>
            </w:rPr>
            <w:t>19.408.0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53AED"/>
    <w:rsid w:val="00083823"/>
    <w:rsid w:val="000E3A30"/>
    <w:rsid w:val="001319F5"/>
    <w:rsid w:val="00161308"/>
    <w:rsid w:val="001627B1"/>
    <w:rsid w:val="001B189E"/>
    <w:rsid w:val="00217B61"/>
    <w:rsid w:val="00240454"/>
    <w:rsid w:val="00325A70"/>
    <w:rsid w:val="0036180E"/>
    <w:rsid w:val="003C3E44"/>
    <w:rsid w:val="003D7076"/>
    <w:rsid w:val="004657BA"/>
    <w:rsid w:val="004E511C"/>
    <w:rsid w:val="00531959"/>
    <w:rsid w:val="00532C08"/>
    <w:rsid w:val="005B129A"/>
    <w:rsid w:val="005B6A5B"/>
    <w:rsid w:val="00624D30"/>
    <w:rsid w:val="00655939"/>
    <w:rsid w:val="00774ED1"/>
    <w:rsid w:val="007F362C"/>
    <w:rsid w:val="008A7C82"/>
    <w:rsid w:val="008F4A00"/>
    <w:rsid w:val="00924BBC"/>
    <w:rsid w:val="00945182"/>
    <w:rsid w:val="00A22E81"/>
    <w:rsid w:val="00B17C59"/>
    <w:rsid w:val="00B50B2C"/>
    <w:rsid w:val="00BD2035"/>
    <w:rsid w:val="00C91FC3"/>
    <w:rsid w:val="00D716F4"/>
    <w:rsid w:val="00DB2EE8"/>
    <w:rsid w:val="00EA387A"/>
    <w:rsid w:val="00EE4AAB"/>
    <w:rsid w:val="00F25396"/>
    <w:rsid w:val="00FA0437"/>
    <w:rsid w:val="00FB0427"/>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Brian Van Daalwyk</cp:lastModifiedBy>
  <cp:revision>9</cp:revision>
  <dcterms:created xsi:type="dcterms:W3CDTF">2022-09-30T19:44:00Z</dcterms:created>
  <dcterms:modified xsi:type="dcterms:W3CDTF">2022-09-30T20:32:00Z</dcterms:modified>
</cp:coreProperties>
</file>